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Lista de anexos das normas de procedimento referentes aos termos de colaboração, fomento e acordos de cooperação celebrados com OSCs</w:t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01 – Referência para colaboração;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02 – Edital de Chamamento Público;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03 – Recurso Administrativo – Etapa de seleção;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04 – Proposta de Parceria;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05 – Plano de Trabalho;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06 – Declaração de Capacidade Técnica e Operacional;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07 – Manifestação Técnica quanto a aprovação do mérito da proposta de parceria;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08 – Manifestação Técnica quanto ao mérito desfavorável da proposta de parceria;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09 – Manifestação Técnica sobre obras e serviços de engenharia para celebração de termo de fomento/termo de colaboração;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10 – Manifestação Técnico-Financeiro de proposta de celebração de parceria;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11 – </w:t>
      </w:r>
      <w:r w:rsidDel="00000000" w:rsidR="00000000" w:rsidRPr="00000000">
        <w:rPr>
          <w:rFonts w:ascii="Arial" w:cs="Arial" w:eastAsia="Arial" w:hAnsi="Arial"/>
          <w:rtl w:val="0"/>
        </w:rPr>
        <w:t xml:space="preserve">Parecer Técnico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Conclusiv</w:t>
      </w:r>
      <w:r w:rsidDel="00000000" w:rsidR="00000000" w:rsidRPr="00000000">
        <w:rPr>
          <w:rFonts w:ascii="Arial" w:cs="Arial" w:eastAsia="Arial" w:hAnsi="Arial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para Celebração de Parceria;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12 – </w:t>
      </w:r>
      <w:r w:rsidDel="00000000" w:rsidR="00000000" w:rsidRPr="00000000">
        <w:rPr>
          <w:rFonts w:ascii="Arial" w:cs="Arial" w:eastAsia="Arial" w:hAnsi="Arial"/>
          <w:rtl w:val="0"/>
        </w:rPr>
        <w:t xml:space="preserve">Manifestação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celebração de parceria (subsecretaria demandante);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13 – Ficha Resumo </w:t>
      </w:r>
      <w:r w:rsidDel="00000000" w:rsidR="00000000" w:rsidRPr="00000000">
        <w:rPr>
          <w:rFonts w:ascii="Arial" w:cs="Arial" w:eastAsia="Arial" w:hAnsi="Arial"/>
          <w:rtl w:val="0"/>
        </w:rPr>
        <w:t xml:space="preserve">do Plano de Trabalho (para o CEAS-ES)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14 – Relatório de Acompanhamento da Parceria;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15 – Relatório Técnico de Monitoramento e Avaliação da Parceria;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16 – Relatório de Visita Técnica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 loco</w:t>
      </w:r>
      <w:r w:rsidDel="00000000" w:rsidR="00000000" w:rsidRPr="00000000">
        <w:rPr>
          <w:rFonts w:ascii="Arial" w:cs="Arial" w:eastAsia="Arial" w:hAnsi="Arial"/>
          <w:rtl w:val="0"/>
        </w:rPr>
        <w:t xml:space="preserve">/virtual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;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17 – Termo de Não Homologação;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18 – Termo de Homologação;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19 – Manifestação Técnica sobre obras e serviços de engenharia para alteração de valor/prazo de termo de fomento/termo de colaboração;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20 – </w:t>
      </w:r>
      <w:r w:rsidDel="00000000" w:rsidR="00000000" w:rsidRPr="00000000">
        <w:rPr>
          <w:rFonts w:ascii="Arial" w:cs="Arial" w:eastAsia="Arial" w:hAnsi="Arial"/>
          <w:rtl w:val="0"/>
        </w:rPr>
        <w:t xml:space="preserve">Manifestação Técnica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proposta de alteração de parceria: termo aditivo e/ou certidão de apostilamento;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21 – Relatório [Anual ou Final] de Execução do Objeto da OSC;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22 – Relatório [Anual ou Final] de Execução Financeira da OSC;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23 – Parecer Técnico [Conclusivo] de Análise de Prestação de Contas Anual ou Final;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24 – Relatório Técnico-Financeiro de Análise de Prestação de Contas Anual ou Final;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25 – Termo de Homologação de Prestação de Contas;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26 – Formulário de Recurso para Rejeição de Prestação de Contas ou Rescisão Unilateral da Parceria;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27 – Manifestação do Gestor ou CGP sobre Aplicação de Sanção Administrativa à OSC;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28 – Sanção Administrativa de Advertência;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29 – Sanção Administrativa de Suspensão Temporária;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30 – Sanção Administrativa de Declaração de Inidoneidade;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31 – Formulário de Recurso para Sanções Administrativas;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32 – Plano de Trabalho para Ressarcimento ao Erário por Meio de Ações Compensatórias de Interesse Público da OSC;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33 – Manifestação do Gestor ou Comissão Gestora da Parceria sobre o Plano de Trabalho para Ressarcimento ao Erário por meio de Ações Compensatórias de Interesse Público;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34 – Relatório de Ações Compensatórias de Interesse Público da OSC;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35 – Manifestação do gestor ou CGP sobre o cumprimento das ações compensatórias de interesse público.</w:t>
      </w:r>
    </w:p>
    <w:sectPr>
      <w:headerReference r:id="rId7" w:type="default"/>
      <w:footerReference r:id="rId8" w:type="default"/>
      <w:pgSz w:h="16838" w:w="11906" w:orient="portrait"/>
      <w:pgMar w:bottom="1134" w:top="1701" w:left="1701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30j0zll" w:id="1"/>
    <w:bookmarkEnd w:id="1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Rua Doutor João Carlos de Souza, 107, Ed. Green Tower, Barro Vermelho, Vitória/ES. CEP: 29.057-530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2571750" cy="971550"/>
          <wp:effectExtent b="0" l="0" r="0" t="0"/>
          <wp:docPr descr="Brasao SETADES_cor_horizontal_selecao.png" id="2" name="image1.png"/>
          <a:graphic>
            <a:graphicData uri="http://schemas.openxmlformats.org/drawingml/2006/picture">
              <pic:pic>
                <pic:nvPicPr>
                  <pic:cNvPr descr="Brasao SETADES_cor_horizontal_selecao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71750" cy="9715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PargrafodaLista">
    <w:name w:val="List Paragraph"/>
    <w:basedOn w:val="Normal"/>
    <w:uiPriority w:val="34"/>
    <w:qFormat w:val="1"/>
    <w:rsid w:val="00BB2F28"/>
    <w:pPr>
      <w:ind w:left="720"/>
      <w:contextualSpacing w:val="1"/>
    </w:pPr>
  </w:style>
  <w:style w:type="paragraph" w:styleId="Cabealho">
    <w:name w:val="header"/>
    <w:basedOn w:val="Normal"/>
    <w:link w:val="CabealhoChar"/>
    <w:uiPriority w:val="99"/>
    <w:unhideWhenUsed w:val="1"/>
    <w:rsid w:val="009E5116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9E5116"/>
  </w:style>
  <w:style w:type="paragraph" w:styleId="Rodap">
    <w:name w:val="footer"/>
    <w:basedOn w:val="Normal"/>
    <w:link w:val="RodapChar"/>
    <w:uiPriority w:val="99"/>
    <w:unhideWhenUsed w:val="1"/>
    <w:rsid w:val="009E5116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9E511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ZjcatkPKO8UvtT/iaW4fY7uc6Q==">CgMxLjAyCGguZ2pkZ3hzMgloLjMwajB6bGw4AHIhMTAwb045T3ppOG9pWHNoTEREeUp6aEk1V1FSclg0NGxI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2022-10-10T12:17:00Z</dcterms:created>
  <dc:creator>André Francisco Ribeiro</dc:creator>
</cp:coreProperties>
</file>